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5" w:rsidRDefault="00FD7C05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FD7C05" w:rsidRDefault="00F8657D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02910" cy="7566501"/>
            <wp:effectExtent l="0" t="0" r="2540" b="0"/>
            <wp:docPr id="1" name="Рисунок 1" descr="C:\Users\sch33\Desktop\скан локальных\Локальные акты\папка 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05" w:rsidRDefault="00FD7C05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FD7C05" w:rsidRDefault="00FD7C05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FD7C05" w:rsidRDefault="00FD7C05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FD7C05" w:rsidRDefault="00FD7C05" w:rsidP="00FD7C05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192892" w:rsidRPr="009234CC" w:rsidRDefault="00FD7C05" w:rsidP="00AE211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AE2113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="00192892" w:rsidRPr="009234CC">
        <w:rPr>
          <w:rFonts w:ascii="Times New Roman" w:hAnsi="Times New Roman" w:cs="Times New Roman"/>
          <w:b/>
          <w:sz w:val="24"/>
          <w:szCs w:val="24"/>
        </w:rPr>
        <w:t>1. О</w:t>
      </w:r>
      <w:r w:rsidR="00192892">
        <w:rPr>
          <w:rFonts w:ascii="Times New Roman" w:hAnsi="Times New Roman" w:cs="Times New Roman"/>
          <w:b/>
          <w:sz w:val="24"/>
          <w:szCs w:val="24"/>
        </w:rPr>
        <w:t>бщие положения.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1.1. Настоящим Положением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 и деятельности Комиссии по противодействию коррупции </w:t>
      </w:r>
      <w:r w:rsidRPr="00F709ED"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</w:t>
      </w:r>
      <w:r>
        <w:rPr>
          <w:rFonts w:ascii="Times New Roman" w:hAnsi="Times New Roman" w:cs="Times New Roman"/>
          <w:sz w:val="24"/>
          <w:szCs w:val="24"/>
        </w:rPr>
        <w:t xml:space="preserve">го   учреждения     лицея №  33 </w:t>
      </w:r>
      <w:r w:rsidRPr="009234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34CC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>, лицей</w:t>
      </w:r>
      <w:r w:rsidRPr="009234CC">
        <w:rPr>
          <w:rFonts w:ascii="Times New Roman" w:hAnsi="Times New Roman" w:cs="Times New Roman"/>
          <w:sz w:val="24"/>
          <w:szCs w:val="24"/>
        </w:rPr>
        <w:t>).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1.2. Комиссия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образуется в целях: </w:t>
      </w:r>
    </w:p>
    <w:p w:rsidR="00192892" w:rsidRPr="009234CC" w:rsidRDefault="00192892" w:rsidP="00192892">
      <w:pPr>
        <w:pStyle w:val="a7"/>
        <w:widowControl/>
        <w:numPr>
          <w:ilvl w:val="0"/>
          <w:numId w:val="1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192892" w:rsidRPr="009234CC" w:rsidRDefault="00192892" w:rsidP="00192892">
      <w:pPr>
        <w:pStyle w:val="a7"/>
        <w:widowControl/>
        <w:numPr>
          <w:ilvl w:val="0"/>
          <w:numId w:val="1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192892" w:rsidRPr="009234CC" w:rsidRDefault="00192892" w:rsidP="00192892">
      <w:pPr>
        <w:pStyle w:val="a7"/>
        <w:widowControl/>
        <w:numPr>
          <w:ilvl w:val="0"/>
          <w:numId w:val="1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9234CC">
        <w:rPr>
          <w:rFonts w:ascii="Times New Roman" w:hAnsi="Times New Roman" w:cs="Times New Roman"/>
          <w:sz w:val="24"/>
          <w:szCs w:val="24"/>
        </w:rPr>
        <w:t xml:space="preserve"> за счёт снижения рисков проявления коррупции.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Ростовской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области и нормативно –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МОБУ лицея № 33,</w:t>
      </w:r>
      <w:r w:rsidRPr="009234CC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Положение о Комиссии,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её состав утверждаются приказом </w:t>
      </w:r>
      <w:r>
        <w:rPr>
          <w:rFonts w:ascii="Times New Roman" w:hAnsi="Times New Roman" w:cs="Times New Roman"/>
          <w:sz w:val="24"/>
          <w:szCs w:val="24"/>
        </w:rPr>
        <w:t>директора лицея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подготовка предложений по выработке и реализации образовательной организацией антикоррупционной политики;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координация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923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 реализации антикоррупционной политики;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создание единой системы информирования работников образовательной организации по вопросам противодействия коррупции;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формирование у работников  антикоррупционного сознания, а также навыков антикоррупционного поведения;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 реализации</w:t>
      </w:r>
      <w:r w:rsidRPr="009234CC">
        <w:rPr>
          <w:rFonts w:ascii="Times New Roman" w:hAnsi="Times New Roman" w:cs="Times New Roman"/>
          <w:sz w:val="24"/>
          <w:szCs w:val="24"/>
        </w:rPr>
        <w:t xml:space="preserve"> выполнения антикоррупционных мероприятий в образовательной организации;</w:t>
      </w:r>
    </w:p>
    <w:p w:rsidR="00192892" w:rsidRPr="009234CC" w:rsidRDefault="00192892" w:rsidP="00192892">
      <w:pPr>
        <w:pStyle w:val="a7"/>
        <w:widowControl/>
        <w:numPr>
          <w:ilvl w:val="0"/>
          <w:numId w:val="2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вносить предложения на рассмотрение </w:t>
      </w:r>
      <w:r>
        <w:rPr>
          <w:rFonts w:ascii="Times New Roman" w:hAnsi="Times New Roman" w:cs="Times New Roman"/>
          <w:sz w:val="24"/>
          <w:szCs w:val="24"/>
        </w:rPr>
        <w:t>директора лицея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 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9234CC">
        <w:rPr>
          <w:rFonts w:ascii="Times New Roman" w:hAnsi="Times New Roman" w:cs="Times New Roman"/>
          <w:sz w:val="24"/>
          <w:szCs w:val="24"/>
        </w:rPr>
        <w:t>в сфере противодействия коррупции;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информацию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9E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9234CC">
        <w:rPr>
          <w:rFonts w:ascii="Times New Roman" w:hAnsi="Times New Roman" w:cs="Times New Roman"/>
          <w:sz w:val="24"/>
          <w:szCs w:val="24"/>
        </w:rPr>
        <w:t>образовательной организации, государственных органов, органов местного самоуправления и организаций по вопросам, относящимся  к компетенции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заслушивать на заседаниях Комиссии </w:t>
      </w:r>
      <w:r>
        <w:rPr>
          <w:rFonts w:ascii="Times New Roman" w:hAnsi="Times New Roman" w:cs="Times New Roman"/>
          <w:sz w:val="24"/>
          <w:szCs w:val="24"/>
        </w:rPr>
        <w:t xml:space="preserve">  работников лицея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рассматривать поступившую информацию о проявлениях коррупции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9234CC">
        <w:rPr>
          <w:rFonts w:ascii="Times New Roman" w:hAnsi="Times New Roman" w:cs="Times New Roman"/>
          <w:sz w:val="24"/>
          <w:szCs w:val="24"/>
        </w:rPr>
        <w:t>, подготавливать предложения по устранению и недопущению выявленных нарушений;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192892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создавать временные рабочие группы по вопросам реализации антикоррупционной политики.</w:t>
      </w:r>
    </w:p>
    <w:p w:rsidR="00192892" w:rsidRPr="009234CC" w:rsidRDefault="00192892" w:rsidP="00192892">
      <w:pPr>
        <w:pStyle w:val="a7"/>
        <w:widowControl/>
        <w:numPr>
          <w:ilvl w:val="0"/>
          <w:numId w:val="3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Порядок формирования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теля комиссии, его заместителя </w:t>
      </w:r>
      <w:r w:rsidRPr="009234CC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3.2.  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3.3.   </w:t>
      </w:r>
      <w:r>
        <w:rPr>
          <w:rFonts w:ascii="Times New Roman" w:hAnsi="Times New Roman" w:cs="Times New Roman"/>
          <w:sz w:val="24"/>
          <w:szCs w:val="24"/>
        </w:rPr>
        <w:t xml:space="preserve">Директор лицея </w:t>
      </w:r>
      <w:r w:rsidRPr="009234CC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 представителей общественных организаций, представителя проф</w:t>
      </w:r>
      <w:r>
        <w:rPr>
          <w:rFonts w:ascii="Times New Roman" w:hAnsi="Times New Roman" w:cs="Times New Roman"/>
          <w:sz w:val="24"/>
          <w:szCs w:val="24"/>
        </w:rPr>
        <w:t>союзной организации, действующих</w:t>
      </w:r>
      <w:r w:rsidRPr="009234CC">
        <w:rPr>
          <w:rFonts w:ascii="Times New Roman" w:hAnsi="Times New Roman" w:cs="Times New Roman"/>
          <w:sz w:val="24"/>
          <w:szCs w:val="24"/>
        </w:rPr>
        <w:t xml:space="preserve"> в установленном порядке в</w:t>
      </w:r>
      <w:r>
        <w:rPr>
          <w:rFonts w:ascii="Times New Roman" w:hAnsi="Times New Roman" w:cs="Times New Roman"/>
          <w:sz w:val="24"/>
          <w:szCs w:val="24"/>
        </w:rPr>
        <w:t xml:space="preserve"> лицее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D90AFE">
        <w:rPr>
          <w:rFonts w:ascii="Times New Roman" w:hAnsi="Times New Roman" w:cs="Times New Roman"/>
          <w:sz w:val="24"/>
          <w:szCs w:val="24"/>
        </w:rPr>
        <w:t>Комиссия является постоянно действующей и создается  учебный год.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192892" w:rsidRDefault="00192892" w:rsidP="00192892">
      <w:pPr>
        <w:pStyle w:val="a7"/>
        <w:widowControl/>
        <w:numPr>
          <w:ilvl w:val="2"/>
          <w:numId w:val="4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192892" w:rsidRDefault="00192892" w:rsidP="00192892">
      <w:pPr>
        <w:pStyle w:val="a7"/>
        <w:widowControl/>
        <w:numPr>
          <w:ilvl w:val="2"/>
          <w:numId w:val="4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F29">
        <w:rPr>
          <w:rFonts w:ascii="Times New Roman" w:hAnsi="Times New Roman" w:cs="Times New Roman"/>
          <w:color w:val="000000"/>
          <w:sz w:val="24"/>
          <w:szCs w:val="24"/>
        </w:rPr>
        <w:t>совершение деяний, указанных в подпункте "4.1.1" настоящего пункта, от имени или в интересах юридического лица;</w:t>
      </w:r>
    </w:p>
    <w:p w:rsidR="00192892" w:rsidRPr="00017D94" w:rsidRDefault="00192892" w:rsidP="00192892">
      <w:pPr>
        <w:pStyle w:val="a7"/>
        <w:widowControl/>
        <w:numPr>
          <w:ilvl w:val="2"/>
          <w:numId w:val="4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D94">
        <w:rPr>
          <w:rFonts w:ascii="Times New Roman" w:hAnsi="Times New Roman" w:cs="Times New Roman"/>
          <w:color w:val="000000"/>
          <w:sz w:val="24"/>
          <w:szCs w:val="24"/>
        </w:rPr>
        <w:t xml:space="preserve"> несоблюдение требований к служебному поведению.  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192892" w:rsidRPr="009234CC" w:rsidRDefault="00192892" w:rsidP="00192892">
      <w:pPr>
        <w:pStyle w:val="a7"/>
        <w:widowControl/>
        <w:numPr>
          <w:ilvl w:val="0"/>
          <w:numId w:val="5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работника и замещаемую им должность;</w:t>
      </w:r>
    </w:p>
    <w:p w:rsidR="00192892" w:rsidRPr="00D40842" w:rsidRDefault="00192892" w:rsidP="00192892">
      <w:pPr>
        <w:pStyle w:val="a7"/>
        <w:widowControl/>
        <w:numPr>
          <w:ilvl w:val="0"/>
          <w:numId w:val="5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842">
        <w:rPr>
          <w:rFonts w:ascii="Times New Roman" w:hAnsi="Times New Roman" w:cs="Times New Roman"/>
          <w:color w:val="000000"/>
          <w:sz w:val="24"/>
          <w:szCs w:val="24"/>
        </w:rPr>
        <w:t xml:space="preserve"> данные об источнике информации.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4.4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192892" w:rsidRPr="009234CC" w:rsidRDefault="00192892" w:rsidP="00192892">
      <w:pPr>
        <w:pStyle w:val="a7"/>
        <w:widowControl/>
        <w:numPr>
          <w:ilvl w:val="0"/>
          <w:numId w:val="6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 со дня поступления 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формации, указанной в пункте 4.1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Положения, выносит решение о проведении проверки этой информации, в том числе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териалов, указанных в пункте 4.2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Положения,</w:t>
      </w:r>
    </w:p>
    <w:p w:rsidR="00192892" w:rsidRPr="009234CC" w:rsidRDefault="00192892" w:rsidP="00192892">
      <w:pPr>
        <w:pStyle w:val="a7"/>
        <w:widowControl/>
        <w:numPr>
          <w:ilvl w:val="0"/>
          <w:numId w:val="6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892" w:rsidRPr="009234CC" w:rsidRDefault="00192892" w:rsidP="0019289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9234CC"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9234CC">
        <w:rPr>
          <w:rFonts w:ascii="Times New Roman" w:hAnsi="Times New Roman" w:cs="Times New Roman"/>
          <w:sz w:val="24"/>
          <w:szCs w:val="24"/>
        </w:rPr>
        <w:t xml:space="preserve">.  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E2113" w:rsidRDefault="00AE2113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деятельности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192892" w:rsidRPr="009234CC" w:rsidRDefault="00192892" w:rsidP="00192892">
      <w:pPr>
        <w:pStyle w:val="a7"/>
        <w:widowControl/>
        <w:numPr>
          <w:ilvl w:val="0"/>
          <w:numId w:val="7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7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разрабатывает план работы Комиссии:</w:t>
      </w:r>
    </w:p>
    <w:p w:rsidR="00192892" w:rsidRPr="009234CC" w:rsidRDefault="00192892" w:rsidP="00192892">
      <w:pPr>
        <w:pStyle w:val="a7"/>
        <w:widowControl/>
        <w:numPr>
          <w:ilvl w:val="0"/>
          <w:numId w:val="7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192892" w:rsidRPr="009234CC" w:rsidRDefault="00192892" w:rsidP="00192892">
      <w:pPr>
        <w:pStyle w:val="a7"/>
        <w:widowControl/>
        <w:numPr>
          <w:ilvl w:val="0"/>
          <w:numId w:val="7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созывает заседание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7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формирует проект повестки и осуществляет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подготовкой заседания Комиссий.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заявления, сообщения, предложения, иные документы от граждан и сотрудников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9234CC">
        <w:rPr>
          <w:rFonts w:ascii="Times New Roman" w:hAnsi="Times New Roman" w:cs="Times New Roman"/>
          <w:sz w:val="24"/>
          <w:szCs w:val="24"/>
        </w:rPr>
        <w:t>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осуществляет подготовку материалов для рассмотрения вопросов Комиссией;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направляет членам Комиссии материалы к очередному заседанию;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ведёт протоколы заседаний Комиссии, ведёт документацию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</w:t>
      </w:r>
      <w:r w:rsidRPr="009234CC">
        <w:rPr>
          <w:rFonts w:ascii="Times New Roman" w:hAnsi="Times New Roman" w:cs="Times New Roman"/>
          <w:sz w:val="24"/>
          <w:szCs w:val="24"/>
        </w:rPr>
        <w:t>спечивает хранение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поступающей в Комиссию;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осуществляет работу по наполнению и обновлению раздела </w:t>
      </w:r>
      <w:proofErr w:type="gramStart"/>
      <w:r w:rsidRPr="009234CC">
        <w:rPr>
          <w:rFonts w:ascii="Times New Roman" w:hAnsi="Times New Roman" w:cs="Times New Roman"/>
          <w:sz w:val="24"/>
          <w:szCs w:val="24"/>
        </w:rPr>
        <w:t>сайта</w:t>
      </w:r>
      <w:proofErr w:type="gramEnd"/>
      <w:r w:rsidRPr="00923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освященного вопросам</w:t>
      </w:r>
      <w:r w:rsidRPr="009234CC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192892" w:rsidRPr="009234CC" w:rsidRDefault="00192892" w:rsidP="00192892">
      <w:pPr>
        <w:pStyle w:val="a7"/>
        <w:widowControl/>
        <w:numPr>
          <w:ilvl w:val="0"/>
          <w:numId w:val="8"/>
        </w:numPr>
        <w:overflowPunct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5.4.   Место, время проведения и повестку дня заседания определяет председатель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5.5.   По решению председателя комиссии в заседаниях Комиссии с правом совещательного голоса могут участвовать другие работники 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9234CC">
        <w:rPr>
          <w:rFonts w:ascii="Times New Roman" w:hAnsi="Times New Roman" w:cs="Times New Roman"/>
          <w:sz w:val="24"/>
          <w:szCs w:val="24"/>
        </w:rPr>
        <w:t>, представители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9234CC">
        <w:rPr>
          <w:rFonts w:ascii="Times New Roman" w:hAnsi="Times New Roman" w:cs="Times New Roman"/>
          <w:sz w:val="24"/>
          <w:szCs w:val="24"/>
        </w:rPr>
        <w:t xml:space="preserve"> органов и организаций.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192892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2892" w:rsidRPr="009234CC" w:rsidRDefault="00192892" w:rsidP="0019289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 w:rsidRPr="009234CC">
        <w:rPr>
          <w:rFonts w:ascii="Times New Roman" w:hAnsi="Times New Roman" w:cs="Times New Roman"/>
          <w:sz w:val="24"/>
          <w:szCs w:val="24"/>
        </w:rPr>
        <w:t>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выступивших на заседании лиц и краткое изложение их выступлений;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содержание пояснений работника, в отношении которого рассматривался вопрос;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голосования;</w:t>
      </w:r>
    </w:p>
    <w:p w:rsidR="00192892" w:rsidRPr="009234CC" w:rsidRDefault="00192892" w:rsidP="00192892">
      <w:pPr>
        <w:pStyle w:val="a7"/>
        <w:widowControl/>
        <w:numPr>
          <w:ilvl w:val="0"/>
          <w:numId w:val="9"/>
        </w:numPr>
        <w:overflowPunct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решение и обоснование его принятия.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234CC">
        <w:rPr>
          <w:rFonts w:ascii="Times New Roman" w:hAnsi="Times New Roman" w:cs="Times New Roman"/>
          <w:sz w:val="24"/>
          <w:szCs w:val="24"/>
        </w:rPr>
        <w:t xml:space="preserve">7.4.   Копия протокола в течение трех рабочих дней со дня заседания направляется </w:t>
      </w:r>
      <w:r>
        <w:rPr>
          <w:rFonts w:ascii="Times New Roman" w:hAnsi="Times New Roman" w:cs="Times New Roman"/>
          <w:sz w:val="24"/>
          <w:szCs w:val="24"/>
        </w:rPr>
        <w:t>директору лицея</w:t>
      </w:r>
      <w:r w:rsidRPr="009234CC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892" w:rsidRPr="009234CC" w:rsidRDefault="00192892" w:rsidP="0019289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7FC" w:rsidRDefault="005E17FC"/>
    <w:sectPr w:rsidR="005E17FC" w:rsidSect="00AE211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564"/>
    <w:multiLevelType w:val="hybridMultilevel"/>
    <w:tmpl w:val="9612C512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980"/>
    <w:multiLevelType w:val="hybridMultilevel"/>
    <w:tmpl w:val="D7D6A95C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9C1"/>
    <w:multiLevelType w:val="hybridMultilevel"/>
    <w:tmpl w:val="79AAE866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53AEF"/>
    <w:multiLevelType w:val="hybridMultilevel"/>
    <w:tmpl w:val="598CDE96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DDB"/>
    <w:multiLevelType w:val="hybridMultilevel"/>
    <w:tmpl w:val="63147742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94447"/>
    <w:multiLevelType w:val="hybridMultilevel"/>
    <w:tmpl w:val="5956ABD6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377A"/>
    <w:multiLevelType w:val="multilevel"/>
    <w:tmpl w:val="1E8A1F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6BA56437"/>
    <w:multiLevelType w:val="hybridMultilevel"/>
    <w:tmpl w:val="B4BE75CE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E722E"/>
    <w:multiLevelType w:val="hybridMultilevel"/>
    <w:tmpl w:val="2C74CE48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7"/>
    <w:rsid w:val="000D4D07"/>
    <w:rsid w:val="00192892"/>
    <w:rsid w:val="00567CDE"/>
    <w:rsid w:val="005E17FC"/>
    <w:rsid w:val="00A22EB1"/>
    <w:rsid w:val="00AE2113"/>
    <w:rsid w:val="00ED5CEE"/>
    <w:rsid w:val="00F8657D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link w:val="a8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9">
    <w:name w:val="List Paragraph"/>
    <w:basedOn w:val="a"/>
    <w:uiPriority w:val="34"/>
    <w:qFormat/>
    <w:rsid w:val="00ED5CE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a">
    <w:name w:val="Subtle Emphasis"/>
    <w:uiPriority w:val="19"/>
    <w:qFormat/>
    <w:rsid w:val="00ED5CEE"/>
    <w:rPr>
      <w:i/>
      <w:iCs/>
      <w:color w:val="808080"/>
    </w:rPr>
  </w:style>
  <w:style w:type="character" w:styleId="ab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c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locked/>
    <w:rsid w:val="00192892"/>
    <w:rPr>
      <w:rFonts w:eastAsia="Times New Roman" w:cs="Calibri"/>
      <w:kern w:val="28"/>
      <w:sz w:val="22"/>
      <w:szCs w:val="22"/>
    </w:rPr>
  </w:style>
  <w:style w:type="table" w:styleId="ad">
    <w:name w:val="Table Grid"/>
    <w:basedOn w:val="a1"/>
    <w:uiPriority w:val="59"/>
    <w:rsid w:val="00AE21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E21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1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after="200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link w:val="a8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9">
    <w:name w:val="List Paragraph"/>
    <w:basedOn w:val="a"/>
    <w:uiPriority w:val="34"/>
    <w:qFormat/>
    <w:rsid w:val="00ED5CE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a">
    <w:name w:val="Subtle Emphasis"/>
    <w:uiPriority w:val="19"/>
    <w:qFormat/>
    <w:rsid w:val="00ED5CEE"/>
    <w:rPr>
      <w:i/>
      <w:iCs/>
      <w:color w:val="808080"/>
    </w:rPr>
  </w:style>
  <w:style w:type="character" w:styleId="ab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c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8">
    <w:name w:val="Без интервала Знак"/>
    <w:basedOn w:val="a0"/>
    <w:link w:val="a7"/>
    <w:uiPriority w:val="1"/>
    <w:locked/>
    <w:rsid w:val="00192892"/>
    <w:rPr>
      <w:rFonts w:eastAsia="Times New Roman" w:cs="Calibri"/>
      <w:kern w:val="28"/>
      <w:sz w:val="22"/>
      <w:szCs w:val="22"/>
    </w:rPr>
  </w:style>
  <w:style w:type="table" w:styleId="ad">
    <w:name w:val="Table Grid"/>
    <w:basedOn w:val="a1"/>
    <w:uiPriority w:val="59"/>
    <w:rsid w:val="00AE21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E21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21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sch33</cp:lastModifiedBy>
  <cp:revision>10</cp:revision>
  <cp:lastPrinted>2019-11-03T23:55:00Z</cp:lastPrinted>
  <dcterms:created xsi:type="dcterms:W3CDTF">2019-08-01T13:25:00Z</dcterms:created>
  <dcterms:modified xsi:type="dcterms:W3CDTF">2019-11-04T18:20:00Z</dcterms:modified>
</cp:coreProperties>
</file>